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11" w:name="_GoBack"/>
      <w:bookmarkEnd w:id="11"/>
      <w:r>
        <w:rPr>
          <w:rFonts w:hint="eastAsia" w:ascii="Times New Roman" w:hAnsi="Times New Roman" w:eastAsia="方正小标宋_GBK" w:cs="Times New Roman"/>
          <w:sz w:val="44"/>
          <w:szCs w:val="44"/>
        </w:rPr>
        <w:t>中共衡水市桃城区纪律检查委员会</w:t>
      </w:r>
      <w:r>
        <w:rPr>
          <w:rFonts w:hint="eastAsia" w:ascii="Times New Roman" w:hAnsi="Times New Roman" w:eastAsia="方正小标宋_GBK" w:cs="Times New Roman"/>
          <w:sz w:val="44"/>
          <w:szCs w:val="44"/>
          <w:lang w:eastAsia="zh-CN"/>
        </w:rPr>
        <w:t>2021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w:t>
      </w:r>
      <w:r>
        <w:rPr>
          <w:rFonts w:hint="eastAsia" w:ascii="仿宋" w:hAnsi="仿宋" w:eastAsia="仿宋" w:cs="Times New Roman"/>
          <w:sz w:val="32"/>
          <w:szCs w:val="32"/>
        </w:rPr>
        <w:t>将中共衡水市桃城区纪律检查委员会</w:t>
      </w:r>
      <w:r>
        <w:rPr>
          <w:rFonts w:hint="eastAsia" w:ascii="仿宋" w:hAnsi="仿宋" w:eastAsia="仿宋" w:cs="Times New Roman"/>
          <w:sz w:val="32"/>
          <w:szCs w:val="32"/>
          <w:lang w:eastAsia="zh-CN"/>
        </w:rPr>
        <w:t>2021</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widowControl/>
        <w:shd w:val="clear" w:color="auto" w:fill="FFFFFF"/>
        <w:spacing w:line="520" w:lineRule="atLeast"/>
        <w:ind w:firstLine="632"/>
        <w:rPr>
          <w:rFonts w:ascii="仿宋" w:hAnsi="仿宋" w:eastAsia="仿宋" w:cs="仿宋"/>
          <w:color w:val="000000"/>
          <w:sz w:val="32"/>
          <w:szCs w:val="32"/>
        </w:rPr>
      </w:pPr>
      <w:r>
        <w:rPr>
          <w:rFonts w:ascii="仿宋_GB2312" w:hAnsi="仿宋" w:eastAsia="仿宋_GB2312" w:cs="仿宋_GB2312"/>
          <w:color w:val="000000"/>
          <w:kern w:val="0"/>
          <w:sz w:val="32"/>
          <w:szCs w:val="32"/>
          <w:shd w:val="clear" w:color="auto" w:fill="FFFFFF"/>
          <w:lang w:bidi="ar"/>
        </w:rPr>
        <w:t>主管全区党的纪律检查工作，负责贯彻落实党中央、中央纪委和省、市、区委关于加强党风廉政建设的决定，维护党的章程和其他党内法规，检查党的路线、方针、政策和决议的执行情况；负责对党风廉政建设责任制执行情况进行监督检查。</w:t>
      </w:r>
      <w:r>
        <w:rPr>
          <w:rFonts w:ascii="仿宋_GB2312" w:hAnsi="仿宋" w:eastAsia="仿宋_GB2312" w:cs="仿宋_GB2312"/>
          <w:color w:val="000000"/>
          <w:kern w:val="0"/>
          <w:sz w:val="32"/>
          <w:szCs w:val="32"/>
          <w:shd w:val="clear" w:color="auto" w:fill="FFFFFF"/>
          <w:lang w:bidi="ar"/>
        </w:rPr>
        <w:br w:type="textWrapping"/>
      </w:r>
      <w:r>
        <w:rPr>
          <w:rFonts w:ascii="仿宋_GB2312" w:hAnsi="仿宋" w:eastAsia="仿宋_GB2312" w:cs="仿宋_GB2312"/>
          <w:color w:val="000000"/>
          <w:kern w:val="0"/>
          <w:sz w:val="32"/>
          <w:szCs w:val="32"/>
          <w:shd w:val="clear" w:color="auto" w:fill="FFFFFF"/>
          <w:lang w:bidi="ar"/>
        </w:rPr>
        <w:t>    </w:t>
      </w:r>
      <w:r>
        <w:rPr>
          <w:rFonts w:hint="eastAsia" w:ascii="仿宋_GB2312" w:hAnsi="仿宋" w:eastAsia="仿宋_GB2312" w:cs="仿宋_GB2312"/>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维护宪法和法律法规权威；依法监察公职人员行使公权力情况，调查职务违法和职务犯罪；开展廉洁建设和反腐败工作。</w:t>
      </w:r>
      <w:r>
        <w:rPr>
          <w:rFonts w:ascii="仿宋_GB2312" w:hAnsi="仿宋" w:eastAsia="仿宋_GB2312" w:cs="仿宋_GB2312"/>
          <w:color w:val="000000"/>
          <w:kern w:val="0"/>
          <w:sz w:val="32"/>
          <w:szCs w:val="32"/>
          <w:shd w:val="clear" w:color="auto" w:fill="FFFFFF"/>
          <w:lang w:bidi="ar"/>
        </w:rPr>
        <w:br w:type="textWrapping"/>
      </w:r>
      <w:r>
        <w:rPr>
          <w:rFonts w:ascii="仿宋_GB2312" w:hAnsi="仿宋" w:eastAsia="仿宋_GB2312" w:cs="仿宋_GB2312"/>
          <w:color w:val="000000"/>
          <w:kern w:val="0"/>
          <w:sz w:val="32"/>
          <w:szCs w:val="32"/>
          <w:shd w:val="clear" w:color="auto" w:fill="FFFFFF"/>
          <w:lang w:bidi="ar"/>
        </w:rPr>
        <w:t>    </w:t>
      </w:r>
      <w:r>
        <w:rPr>
          <w:rFonts w:hint="eastAsia" w:ascii="仿宋_GB2312" w:hAnsi="仿宋" w:eastAsia="仿宋_GB2312" w:cs="仿宋_GB2312"/>
          <w:color w:val="000000"/>
          <w:kern w:val="0"/>
          <w:sz w:val="32"/>
          <w:szCs w:val="32"/>
          <w:shd w:val="clear" w:color="auto" w:fill="FFFFFF"/>
          <w:lang w:bidi="ar"/>
        </w:rPr>
        <w:t xml:space="preserve"> </w:t>
      </w:r>
      <w:r>
        <w:rPr>
          <w:rFonts w:hint="eastAsia" w:ascii="仿宋_GB2312" w:hAnsi="仿宋" w:eastAsia="仿宋_GB2312" w:cs="仿宋_GB2312"/>
          <w:color w:val="000000"/>
          <w:kern w:val="0"/>
          <w:sz w:val="32"/>
          <w:szCs w:val="32"/>
          <w:shd w:val="clear" w:color="auto" w:fill="FFFFFF"/>
          <w:lang w:val="en-US" w:eastAsia="zh-CN" w:bidi="ar"/>
        </w:rPr>
        <w:t xml:space="preserve"> </w:t>
      </w:r>
      <w:r>
        <w:rPr>
          <w:rFonts w:ascii="仿宋_GB2312" w:hAnsi="仿宋" w:eastAsia="仿宋_GB2312" w:cs="仿宋_GB2312"/>
          <w:color w:val="000000"/>
          <w:kern w:val="0"/>
          <w:sz w:val="32"/>
          <w:szCs w:val="32"/>
          <w:shd w:val="clear" w:color="auto" w:fill="FFFFFF"/>
          <w:lang w:bidi="ar"/>
        </w:rPr>
        <w:t>负责组织协调全区党风廉政建设和反腐败工作，承担区委、区政府反腐败斗争联席会议办公室和区委、区政府党风廉政建设领导小组办公室的职责。</w:t>
      </w:r>
      <w:r>
        <w:rPr>
          <w:rFonts w:ascii="仿宋_GB2312" w:hAnsi="仿宋" w:eastAsia="仿宋_GB2312" w:cs="仿宋_GB2312"/>
          <w:color w:val="000000"/>
          <w:kern w:val="0"/>
          <w:sz w:val="32"/>
          <w:szCs w:val="32"/>
          <w:shd w:val="clear" w:color="auto" w:fill="FFFFFF"/>
          <w:lang w:bidi="ar"/>
        </w:rPr>
        <w:br w:type="textWrapping"/>
      </w:r>
      <w:r>
        <w:rPr>
          <w:rFonts w:ascii="仿宋_GB2312" w:hAnsi="仿宋" w:eastAsia="仿宋_GB2312" w:cs="仿宋_GB2312"/>
          <w:color w:val="000000"/>
          <w:kern w:val="0"/>
          <w:sz w:val="32"/>
          <w:szCs w:val="32"/>
          <w:shd w:val="clear" w:color="auto" w:fill="FFFFFF"/>
          <w:lang w:bidi="ar"/>
        </w:rPr>
        <w:t>    </w:t>
      </w:r>
      <w:r>
        <w:rPr>
          <w:rFonts w:hint="eastAsia" w:ascii="仿宋_GB2312" w:hAnsi="仿宋" w:eastAsia="仿宋_GB2312" w:cs="仿宋_GB2312"/>
          <w:color w:val="000000"/>
          <w:kern w:val="0"/>
          <w:sz w:val="32"/>
          <w:szCs w:val="32"/>
          <w:shd w:val="clear" w:color="auto" w:fill="FFFFFF"/>
          <w:lang w:bidi="ar"/>
        </w:rPr>
        <w:t xml:space="preserve"> </w:t>
      </w:r>
      <w:r>
        <w:rPr>
          <w:rFonts w:hint="eastAsia" w:ascii="仿宋_GB2312" w:hAnsi="仿宋" w:eastAsia="仿宋_GB2312" w:cs="仿宋_GB2312"/>
          <w:color w:val="000000"/>
          <w:kern w:val="0"/>
          <w:sz w:val="32"/>
          <w:szCs w:val="32"/>
          <w:shd w:val="clear" w:color="auto" w:fill="FFFFFF"/>
          <w:lang w:val="en-US" w:eastAsia="zh-CN" w:bidi="ar"/>
        </w:rPr>
        <w:t xml:space="preserve"> </w:t>
      </w:r>
      <w:r>
        <w:rPr>
          <w:rFonts w:ascii="仿宋_GB2312" w:hAnsi="仿宋" w:eastAsia="仿宋_GB2312" w:cs="仿宋_GB2312"/>
          <w:color w:val="000000"/>
          <w:kern w:val="0"/>
          <w:sz w:val="32"/>
          <w:szCs w:val="32"/>
          <w:shd w:val="clear" w:color="auto" w:fill="FFFFFF"/>
          <w:lang w:bidi="ar"/>
        </w:rPr>
        <w:t>负责检查并处理区级机关各部门、各镇、街道党的组织和区委管理的党员干部违反党的章程及党内法规的案件，决定对这些案件中的党组织和党员的处分或提出给予处分的建议。履行监督、调查、处置职责，对公职人员依法履职、秉公用权、廉洁从政从业以及道德操守情况进行监督检查；对涉嫌贪污贿赂、滥用职权、玩忽职守、权力寻租、利益输送、徇私舞弊以及浪费国家资财等职务违法和职务犯罪进行调查；依据相关法律对违法公职人员作出政务处分决定；对在行使职权中存在的问题提出监察建议；对履行职责不力，失职失责的领导人员进行问责；对涉嫌职务犯罪的，将调查结果移送检察机关依法提起公诉。</w:t>
      </w:r>
    </w:p>
    <w:p>
      <w:pPr>
        <w:widowControl/>
        <w:shd w:val="clear" w:color="auto" w:fill="FFFFFF"/>
        <w:spacing w:line="520" w:lineRule="atLeast"/>
        <w:ind w:firstLine="632"/>
        <w:rPr>
          <w:rFonts w:ascii="仿宋" w:hAnsi="仿宋" w:eastAsia="仿宋" w:cs="Times New Roman"/>
          <w:b/>
          <w:sz w:val="32"/>
          <w:szCs w:val="32"/>
        </w:rPr>
      </w:pPr>
      <w:r>
        <w:rPr>
          <w:rFonts w:ascii="仿宋_GB2312" w:hAnsi="仿宋" w:eastAsia="仿宋_GB2312" w:cs="仿宋_GB2312"/>
          <w:color w:val="000000"/>
          <w:kern w:val="0"/>
          <w:sz w:val="32"/>
          <w:szCs w:val="32"/>
          <w:shd w:val="clear" w:color="auto" w:fill="FFFFFF"/>
          <w:lang w:bidi="ar"/>
        </w:rPr>
        <w:t>受理党员的控告和申诉；受理监察对象不服政纪处分的申诉；受理个人或单位对党员干部和监察对象违纪行为检举、控告；保护党员和国家工作人员的正当权利和合法权益。</w:t>
      </w:r>
      <w:r>
        <w:rPr>
          <w:rFonts w:ascii="仿宋_GB2312" w:hAnsi="仿宋" w:eastAsia="仿宋_GB2312" w:cs="仿宋_GB2312"/>
          <w:color w:val="000000"/>
          <w:kern w:val="0"/>
          <w:sz w:val="32"/>
          <w:szCs w:val="32"/>
          <w:shd w:val="clear" w:color="auto" w:fill="FFFFFF"/>
          <w:lang w:bidi="ar"/>
        </w:rPr>
        <w:br w:type="textWrapping"/>
      </w:r>
      <w:r>
        <w:rPr>
          <w:rFonts w:ascii="仿宋_GB2312" w:hAnsi="仿宋" w:eastAsia="仿宋_GB2312" w:cs="仿宋_GB2312"/>
          <w:color w:val="000000"/>
          <w:kern w:val="0"/>
          <w:sz w:val="32"/>
          <w:szCs w:val="32"/>
          <w:shd w:val="clear" w:color="auto" w:fill="FFFFFF"/>
          <w:lang w:bidi="ar"/>
        </w:rPr>
        <w:t>    </w:t>
      </w:r>
      <w:r>
        <w:rPr>
          <w:rFonts w:hint="eastAsia" w:ascii="仿宋_GB2312" w:hAnsi="仿宋" w:eastAsia="仿宋_GB2312" w:cs="仿宋_GB2312"/>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负责制定党风廉政建设和党纪政纪教育计划；配合有关部门做好党的纪律检查工作和监察工作的方针、政策、法律、法规的宣传工作；教育党员和国家工作人员遵纪守法，为政清廉。</w:t>
      </w:r>
      <w:r>
        <w:rPr>
          <w:rFonts w:ascii="仿宋_GB2312" w:hAnsi="仿宋" w:eastAsia="仿宋_GB2312" w:cs="仿宋_GB2312"/>
          <w:color w:val="000000"/>
          <w:kern w:val="0"/>
          <w:sz w:val="32"/>
          <w:szCs w:val="32"/>
          <w:shd w:val="clear" w:color="auto" w:fill="FFFFFF"/>
          <w:lang w:bidi="ar"/>
        </w:rPr>
        <w:br w:type="textWrapping"/>
      </w:r>
      <w:r>
        <w:rPr>
          <w:rFonts w:ascii="仿宋_GB2312" w:hAnsi="仿宋" w:eastAsia="仿宋_GB2312" w:cs="仿宋_GB2312"/>
          <w:color w:val="000000"/>
          <w:kern w:val="0"/>
          <w:sz w:val="32"/>
          <w:szCs w:val="32"/>
          <w:shd w:val="clear" w:color="auto" w:fill="FFFFFF"/>
          <w:lang w:bidi="ar"/>
        </w:rPr>
        <w:t>    </w:t>
      </w:r>
      <w:r>
        <w:rPr>
          <w:rFonts w:hint="eastAsia" w:ascii="仿宋_GB2312" w:hAnsi="仿宋" w:eastAsia="仿宋_GB2312" w:cs="仿宋_GB2312"/>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负责对党的纪律检查和监察工作的理论研究；对党风廉政建设和反腐败工作中带苗头性、倾向性的问题进行调查研究。</w:t>
      </w:r>
      <w:r>
        <w:rPr>
          <w:rFonts w:ascii="仿宋_GB2312" w:hAnsi="仿宋" w:eastAsia="仿宋_GB2312" w:cs="仿宋_GB2312"/>
          <w:color w:val="000000"/>
          <w:kern w:val="0"/>
          <w:sz w:val="32"/>
          <w:szCs w:val="32"/>
          <w:shd w:val="clear" w:color="auto" w:fill="FFFFFF"/>
          <w:lang w:bidi="ar"/>
        </w:rPr>
        <w:br w:type="textWrapping"/>
      </w:r>
      <w:r>
        <w:rPr>
          <w:rFonts w:ascii="仿宋_GB2312" w:hAnsi="仿宋" w:eastAsia="仿宋_GB2312" w:cs="仿宋_GB2312"/>
          <w:color w:val="000000"/>
          <w:kern w:val="0"/>
          <w:sz w:val="32"/>
          <w:szCs w:val="32"/>
          <w:shd w:val="clear" w:color="auto" w:fill="FFFFFF"/>
          <w:lang w:bidi="ar"/>
        </w:rPr>
        <w:t>    </w:t>
      </w:r>
      <w:r>
        <w:rPr>
          <w:rFonts w:hint="eastAsia" w:ascii="仿宋_GB2312" w:hAnsi="仿宋" w:eastAsia="仿宋_GB2312" w:cs="仿宋_GB2312"/>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会同区委组织部做好选拔、审核部门纪委（纪检组）和镇、街道纪委（纪工委）领导班子人选工作；组织和指导纪检、监察系统干部的培训工作。</w:t>
      </w:r>
      <w:r>
        <w:rPr>
          <w:rFonts w:ascii="仿宋_GB2312" w:hAnsi="仿宋" w:eastAsia="仿宋_GB2312" w:cs="仿宋_GB2312"/>
          <w:color w:val="000000"/>
          <w:kern w:val="0"/>
          <w:sz w:val="32"/>
          <w:szCs w:val="32"/>
          <w:shd w:val="clear" w:color="auto" w:fill="FFFFFF"/>
          <w:lang w:bidi="ar"/>
        </w:rPr>
        <w:br w:type="textWrapping"/>
      </w:r>
      <w:r>
        <w:rPr>
          <w:rFonts w:ascii="仿宋_GB2312" w:hAnsi="仿宋" w:eastAsia="仿宋_GB2312" w:cs="仿宋_GB2312"/>
          <w:color w:val="000000"/>
          <w:kern w:val="0"/>
          <w:sz w:val="32"/>
          <w:szCs w:val="32"/>
          <w:shd w:val="clear" w:color="auto" w:fill="FFFFFF"/>
          <w:lang w:bidi="ar"/>
        </w:rPr>
        <w:t>    </w:t>
      </w:r>
      <w:r>
        <w:rPr>
          <w:rFonts w:hint="eastAsia" w:ascii="仿宋_GB2312" w:hAnsi="仿宋" w:eastAsia="仿宋_GB2312" w:cs="仿宋_GB2312"/>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负责变更或撤销下级纪检组织不适当的决定和规定。</w:t>
      </w:r>
      <w:r>
        <w:rPr>
          <w:rFonts w:ascii="仿宋_GB2312" w:hAnsi="仿宋" w:eastAsia="仿宋_GB2312" w:cs="仿宋_GB2312"/>
          <w:color w:val="000000"/>
          <w:kern w:val="0"/>
          <w:sz w:val="32"/>
          <w:szCs w:val="32"/>
          <w:shd w:val="clear" w:color="auto" w:fill="FFFFFF"/>
          <w:lang w:bidi="ar"/>
        </w:rPr>
        <w:br w:type="textWrapping"/>
      </w:r>
      <w:r>
        <w:rPr>
          <w:rFonts w:ascii="仿宋_GB2312" w:hAnsi="仿宋" w:eastAsia="仿宋_GB2312" w:cs="仿宋_GB2312"/>
          <w:color w:val="000000"/>
          <w:kern w:val="0"/>
          <w:sz w:val="32"/>
          <w:szCs w:val="32"/>
          <w:shd w:val="clear" w:color="auto" w:fill="FFFFFF"/>
          <w:lang w:bidi="ar"/>
        </w:rPr>
        <w:t>    </w:t>
      </w:r>
      <w:r>
        <w:rPr>
          <w:rFonts w:hint="eastAsia" w:ascii="仿宋_GB2312" w:hAnsi="仿宋" w:eastAsia="仿宋_GB2312" w:cs="仿宋_GB2312"/>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承办上级部门和区委、区政府委托及交办的其他事项。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中共衡水市桃城区纪律检查委员会根据工作需要，设有</w:t>
      </w:r>
      <w:r>
        <w:rPr>
          <w:rFonts w:hint="eastAsia" w:ascii="仿宋_GB2312" w:hAnsi="仿宋_GB2312" w:eastAsia="仿宋_GB2312" w:cs="仿宋_GB2312"/>
          <w:sz w:val="32"/>
          <w:szCs w:val="32"/>
        </w:rPr>
        <w:t>办公室、信访室、案管室、党风政风监督室、审理室、宣传部、干部监督室、监督检查室一至五室、审查调查室六至八室、派驻纪检组一至五组</w:t>
      </w:r>
      <w:r>
        <w:rPr>
          <w:rFonts w:hint="eastAsia" w:ascii="仿宋" w:hAnsi="仿宋" w:eastAsia="仿宋" w:cs="Times New Roman"/>
          <w:sz w:val="32"/>
          <w:szCs w:val="32"/>
        </w:rPr>
        <w:t>。</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中共衡水市桃城区纪律检查委员会</w:t>
            </w:r>
          </w:p>
        </w:tc>
        <w:tc>
          <w:tcPr>
            <w:tcW w:w="1134" w:type="dxa"/>
            <w:vAlign w:val="center"/>
          </w:tcPr>
          <w:p>
            <w:pPr>
              <w:spacing w:line="300" w:lineRule="exact"/>
              <w:jc w:val="center"/>
              <w:rPr>
                <w:rFonts w:hint="default"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正科级</w:t>
            </w:r>
          </w:p>
        </w:tc>
        <w:tc>
          <w:tcPr>
            <w:tcW w:w="2902"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办公室</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信访室</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案管室</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党风政风监督室</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审理室</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宣传部</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干部监督室</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监督检查室一至五室</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正科级</w:t>
            </w:r>
          </w:p>
        </w:tc>
        <w:tc>
          <w:tcPr>
            <w:tcW w:w="2902" w:type="dxa"/>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审查调查室六至八室</w:t>
            </w:r>
          </w:p>
        </w:tc>
        <w:tc>
          <w:tcPr>
            <w:tcW w:w="1134"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派驻纪检组一至五组</w:t>
            </w:r>
          </w:p>
        </w:tc>
        <w:tc>
          <w:tcPr>
            <w:tcW w:w="1134" w:type="dxa"/>
            <w:vAlign w:val="center"/>
          </w:tcPr>
          <w:p>
            <w:pPr>
              <w:spacing w:line="300" w:lineRule="exact"/>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行政</w:t>
            </w:r>
          </w:p>
        </w:tc>
        <w:tc>
          <w:tcPr>
            <w:tcW w:w="1276" w:type="dxa"/>
            <w:vAlign w:val="center"/>
          </w:tcPr>
          <w:p>
            <w:pPr>
              <w:spacing w:line="300" w:lineRule="exact"/>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副科级</w:t>
            </w:r>
          </w:p>
        </w:tc>
        <w:tc>
          <w:tcPr>
            <w:tcW w:w="2902" w:type="dxa"/>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Times New Roman" w:hAnsi="Times New Roman" w:eastAsia="方正书宋_GBK" w:cs="Times New Roman"/>
                <w:szCs w:val="24"/>
                <w:lang w:val="en-US" w:eastAsia="zh-CN"/>
              </w:rPr>
              <w:t>财政拨款</w:t>
            </w:r>
          </w:p>
        </w:tc>
      </w:tr>
    </w:tbl>
    <w:p/>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区</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hint="eastAsia" w:ascii="仿宋" w:hAnsi="仿宋" w:eastAsia="仿宋" w:cs="Times New Roman"/>
          <w:sz w:val="32"/>
          <w:szCs w:val="32"/>
        </w:rPr>
        <w:t>中共衡水市桃城区纪律检查委员会</w:t>
      </w:r>
      <w:r>
        <w:rPr>
          <w:rFonts w:ascii="Times New Roman" w:hAnsi="Times New Roman" w:eastAsia="仿宋" w:cs="Times New Roman"/>
          <w:sz w:val="32"/>
          <w:szCs w:val="32"/>
        </w:rPr>
        <w:t>及所属事业单位的收支包含在部门预算中。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hint="eastAsia" w:ascii="Times New Roman" w:hAnsi="Times New Roman" w:eastAsia="仿宋" w:cs="Times New Roman"/>
          <w:sz w:val="32"/>
          <w:szCs w:val="32"/>
          <w:lang w:eastAsia="zh-CN"/>
        </w:rPr>
        <w:t>2021</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1974.85</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1974.85</w:t>
      </w:r>
      <w:r>
        <w:rPr>
          <w:rFonts w:hint="eastAsia" w:ascii="Times New Roman" w:hAnsi="Times New Roman" w:eastAsia="仿宋" w:cs="Times New Roman"/>
          <w:sz w:val="32"/>
          <w:szCs w:val="32"/>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仿宋" w:hAnsi="仿宋" w:eastAsia="仿宋" w:cs="Times New Roman"/>
          <w:sz w:val="32"/>
          <w:szCs w:val="32"/>
        </w:rPr>
        <w:t>中共衡水市桃城区纪律检查委员会</w:t>
      </w:r>
      <w:r>
        <w:rPr>
          <w:rFonts w:hint="eastAsia" w:ascii="Times New Roman" w:hAnsi="Times New Roman" w:eastAsia="仿宋" w:cs="Times New Roman"/>
          <w:sz w:val="32"/>
          <w:szCs w:val="32"/>
        </w:rPr>
        <w:t>年度部门预算中支出预算的总体情况。</w:t>
      </w:r>
      <w:r>
        <w:rPr>
          <w:rFonts w:hint="eastAsia" w:ascii="Times New Roman" w:hAnsi="Times New Roman" w:eastAsia="仿宋" w:cs="Times New Roman"/>
          <w:sz w:val="32"/>
          <w:szCs w:val="32"/>
          <w:lang w:eastAsia="zh-CN"/>
        </w:rPr>
        <w:t>2021</w:t>
      </w:r>
      <w:r>
        <w:rPr>
          <w:rFonts w:hint="eastAsia" w:ascii="Times New Roman" w:hAnsi="Times New Roman" w:eastAsia="仿宋" w:cs="Times New Roman"/>
          <w:sz w:val="32"/>
          <w:szCs w:val="32"/>
        </w:rPr>
        <w:t>年部门支出预算为</w:t>
      </w:r>
      <w:r>
        <w:rPr>
          <w:rFonts w:hint="eastAsia" w:ascii="Times New Roman" w:hAnsi="Times New Roman" w:eastAsia="仿宋" w:cs="Times New Roman"/>
          <w:sz w:val="32"/>
          <w:szCs w:val="32"/>
          <w:lang w:val="en-US" w:eastAsia="zh-CN"/>
        </w:rPr>
        <w:t>1974.85</w:t>
      </w:r>
      <w:r>
        <w:rPr>
          <w:rFonts w:hint="eastAsia" w:ascii="Times New Roman" w:hAnsi="Times New Roman" w:eastAsia="仿宋" w:cs="Times New Roman"/>
          <w:sz w:val="32"/>
          <w:szCs w:val="32"/>
        </w:rPr>
        <w:t>万元，其中基本支出1367.85万元，包括人员经费1225.26万元和日常公用经费142.59万元；项目支出</w:t>
      </w:r>
      <w:r>
        <w:rPr>
          <w:rFonts w:hint="eastAsia" w:ascii="Times New Roman" w:hAnsi="Times New Roman" w:eastAsia="仿宋" w:cs="Times New Roman"/>
          <w:sz w:val="32"/>
          <w:szCs w:val="32"/>
          <w:lang w:val="en-US" w:eastAsia="zh-CN"/>
        </w:rPr>
        <w:t>607</w:t>
      </w:r>
      <w:r>
        <w:rPr>
          <w:rFonts w:hint="eastAsia" w:ascii="Times New Roman" w:hAnsi="Times New Roman" w:eastAsia="仿宋" w:cs="Times New Roman"/>
          <w:sz w:val="32"/>
          <w:szCs w:val="32"/>
        </w:rPr>
        <w:t>万元，主要为办案业务费180万元，乡镇办纪（工）委人员工作经费40万元，</w:t>
      </w:r>
      <w:r>
        <w:rPr>
          <w:rFonts w:hint="eastAsia" w:ascii="Times New Roman" w:hAnsi="Times New Roman" w:eastAsia="仿宋" w:cs="Times New Roman"/>
          <w:sz w:val="32"/>
          <w:szCs w:val="32"/>
          <w:lang w:val="en-US" w:eastAsia="zh-CN"/>
        </w:rPr>
        <w:t>纪检监察信息化建设经费</w:t>
      </w: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0万元，辅警劳务费142万元，专题学习培训经费1</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万元，巡察办工作经费</w:t>
      </w:r>
      <w:r>
        <w:rPr>
          <w:rFonts w:hint="eastAsia" w:ascii="Times New Roman" w:hAnsi="Times New Roman" w:eastAsia="仿宋" w:cs="Times New Roman"/>
          <w:sz w:val="32"/>
          <w:szCs w:val="32"/>
          <w:lang w:val="en-US" w:eastAsia="zh-CN"/>
        </w:rPr>
        <w:t>85</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lang w:eastAsia="zh-CN"/>
        </w:rPr>
        <w:t>2021</w:t>
      </w:r>
      <w:r>
        <w:rPr>
          <w:rFonts w:hint="eastAsia" w:ascii="Times New Roman" w:hAnsi="Times New Roman" w:eastAsia="仿宋" w:cs="Times New Roman"/>
          <w:color w:val="000000"/>
          <w:sz w:val="32"/>
          <w:szCs w:val="32"/>
        </w:rPr>
        <w:t>年部门预算收支安排</w:t>
      </w:r>
      <w:r>
        <w:rPr>
          <w:rFonts w:hint="eastAsia" w:ascii="Times New Roman" w:hAnsi="Times New Roman" w:eastAsia="仿宋" w:cs="Times New Roman"/>
          <w:sz w:val="32"/>
          <w:szCs w:val="32"/>
          <w:lang w:val="en-US" w:eastAsia="zh-CN"/>
        </w:rPr>
        <w:t>1974.85</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年增长</w:t>
      </w:r>
      <w:r>
        <w:rPr>
          <w:rFonts w:hint="eastAsia" w:ascii="Times New Roman" w:hAnsi="Times New Roman" w:eastAsia="仿宋" w:cs="Times New Roman"/>
          <w:sz w:val="32"/>
          <w:szCs w:val="32"/>
          <w:lang w:val="en-US" w:eastAsia="zh-CN"/>
        </w:rPr>
        <w:t>61.06</w:t>
      </w:r>
      <w:r>
        <w:rPr>
          <w:rFonts w:hint="eastAsia" w:ascii="Times New Roman" w:hAnsi="Times New Roman" w:eastAsia="仿宋" w:cs="Times New Roman"/>
          <w:sz w:val="32"/>
          <w:szCs w:val="32"/>
        </w:rPr>
        <w:t>万元，其中：基本支出增长</w:t>
      </w:r>
      <w:r>
        <w:rPr>
          <w:rFonts w:hint="eastAsia" w:ascii="Times New Roman" w:hAnsi="Times New Roman" w:eastAsia="仿宋" w:cs="Times New Roman"/>
          <w:sz w:val="32"/>
          <w:szCs w:val="32"/>
          <w:lang w:val="en-US" w:eastAsia="zh-CN"/>
        </w:rPr>
        <w:t>84.06</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val="en-US" w:eastAsia="zh-CN"/>
        </w:rPr>
        <w:t>新进人员工资保险的增加</w:t>
      </w:r>
      <w:r>
        <w:rPr>
          <w:rFonts w:hint="eastAsia" w:ascii="Times New Roman" w:hAnsi="Times New Roman" w:eastAsia="仿宋" w:cs="Times New Roman"/>
          <w:sz w:val="32"/>
          <w:szCs w:val="32"/>
        </w:rPr>
        <w:t>；项目支出下降</w:t>
      </w:r>
      <w:r>
        <w:rPr>
          <w:rFonts w:hint="eastAsia" w:ascii="Times New Roman" w:hAnsi="Times New Roman" w:eastAsia="仿宋" w:cs="Times New Roman"/>
          <w:sz w:val="32"/>
          <w:szCs w:val="32"/>
          <w:lang w:val="en-US" w:eastAsia="zh-CN"/>
        </w:rPr>
        <w:t>23</w:t>
      </w:r>
      <w:r>
        <w:rPr>
          <w:rFonts w:hint="eastAsia" w:ascii="Times New Roman" w:hAnsi="Times New Roman" w:eastAsia="仿宋" w:cs="Times New Roman"/>
          <w:sz w:val="32"/>
          <w:szCs w:val="32"/>
        </w:rPr>
        <w:t>万元，主要为节约开支。</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2021</w:t>
      </w:r>
      <w:r>
        <w:rPr>
          <w:rFonts w:hint="eastAsia" w:ascii="Times New Roman" w:hAnsi="Times New Roman" w:eastAsia="仿宋" w:cs="Times New Roman"/>
          <w:sz w:val="32"/>
          <w:szCs w:val="32"/>
        </w:rPr>
        <w:t>年，我部门机关运行经费共计安排</w:t>
      </w:r>
      <w:r>
        <w:rPr>
          <w:rFonts w:hint="eastAsia" w:ascii="Times New Roman" w:hAnsi="Times New Roman" w:eastAsia="仿宋" w:cs="Times New Roman"/>
          <w:sz w:val="32"/>
          <w:szCs w:val="32"/>
          <w:lang w:val="en-US" w:eastAsia="zh-CN"/>
        </w:rPr>
        <w:t>142.59</w:t>
      </w:r>
      <w:r>
        <w:rPr>
          <w:rFonts w:hint="eastAsia" w:ascii="Times New Roman" w:hAnsi="Times New Roman" w:eastAsia="仿宋" w:cs="Times New Roman"/>
          <w:sz w:val="32"/>
          <w:szCs w:val="32"/>
        </w:rPr>
        <w:t>万元，主要用于主要用于保证机关正常运转的办公费</w:t>
      </w:r>
      <w:r>
        <w:rPr>
          <w:rFonts w:hint="eastAsia" w:ascii="Times New Roman" w:hAnsi="Times New Roman" w:eastAsia="仿宋" w:cs="Times New Roman"/>
          <w:sz w:val="32"/>
          <w:szCs w:val="32"/>
          <w:lang w:val="en-US" w:eastAsia="zh-CN"/>
        </w:rPr>
        <w:t>36</w:t>
      </w:r>
      <w:r>
        <w:rPr>
          <w:rFonts w:hint="eastAsia" w:ascii="Times New Roman" w:hAnsi="Times New Roman" w:eastAsia="仿宋" w:cs="Times New Roman"/>
          <w:sz w:val="32"/>
          <w:szCs w:val="32"/>
        </w:rPr>
        <w:t>万元、邮电费</w:t>
      </w:r>
      <w:r>
        <w:rPr>
          <w:rFonts w:hint="eastAsia" w:ascii="Times New Roman" w:hAnsi="Times New Roman" w:eastAsia="仿宋" w:cs="Times New Roman"/>
          <w:sz w:val="32"/>
          <w:szCs w:val="32"/>
          <w:lang w:val="en-US" w:eastAsia="zh-CN"/>
        </w:rPr>
        <w:t>57.42</w:t>
      </w:r>
      <w:r>
        <w:rPr>
          <w:rFonts w:hint="eastAsia" w:ascii="Times New Roman" w:hAnsi="Times New Roman" w:eastAsia="仿宋" w:cs="Times New Roman"/>
          <w:sz w:val="32"/>
          <w:szCs w:val="32"/>
        </w:rPr>
        <w:t>万元、工会经费</w:t>
      </w:r>
      <w:r>
        <w:rPr>
          <w:rFonts w:hint="eastAsia" w:ascii="Times New Roman" w:hAnsi="Times New Roman" w:eastAsia="仿宋" w:cs="Times New Roman"/>
          <w:sz w:val="32"/>
          <w:szCs w:val="32"/>
          <w:lang w:val="en-US" w:eastAsia="zh-CN"/>
        </w:rPr>
        <w:t>7.18</w:t>
      </w:r>
      <w:r>
        <w:rPr>
          <w:rFonts w:hint="eastAsia" w:ascii="Times New Roman" w:hAnsi="Times New Roman" w:eastAsia="仿宋" w:cs="Times New Roman"/>
          <w:sz w:val="32"/>
          <w:szCs w:val="32"/>
        </w:rPr>
        <w:t>万元、其他交通费用</w:t>
      </w:r>
      <w:r>
        <w:rPr>
          <w:rFonts w:hint="eastAsia" w:ascii="Times New Roman" w:hAnsi="Times New Roman" w:eastAsia="仿宋" w:cs="Times New Roman"/>
          <w:sz w:val="32"/>
          <w:szCs w:val="32"/>
          <w:lang w:val="en-US" w:eastAsia="zh-CN"/>
        </w:rPr>
        <w:t>41.99</w:t>
      </w:r>
      <w:r>
        <w:rPr>
          <w:rFonts w:hint="eastAsia" w:ascii="Times New Roman" w:hAnsi="Times New Roman" w:eastAsia="仿宋" w:cs="Times New Roman"/>
          <w:sz w:val="32"/>
          <w:szCs w:val="32"/>
        </w:rPr>
        <w:t>万元等支出。与20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年相比，增加了</w:t>
      </w:r>
      <w:r>
        <w:rPr>
          <w:rFonts w:hint="eastAsia" w:ascii="Times New Roman" w:hAnsi="Times New Roman" w:eastAsia="仿宋" w:cs="Times New Roman"/>
          <w:sz w:val="32"/>
          <w:szCs w:val="32"/>
          <w:lang w:val="en-US" w:eastAsia="zh-CN"/>
        </w:rPr>
        <w:t>9.85</w:t>
      </w:r>
      <w:r>
        <w:rPr>
          <w:rFonts w:hint="eastAsia" w:ascii="Times New Roman" w:hAnsi="Times New Roman" w:eastAsia="仿宋" w:cs="Times New Roman"/>
          <w:sz w:val="32"/>
          <w:szCs w:val="32"/>
        </w:rPr>
        <w:t>万元，是由于</w:t>
      </w:r>
      <w:r>
        <w:rPr>
          <w:rFonts w:hint="eastAsia" w:ascii="Times New Roman" w:hAnsi="Times New Roman" w:eastAsia="仿宋" w:cs="Times New Roman"/>
          <w:sz w:val="32"/>
          <w:szCs w:val="32"/>
          <w:lang w:val="en-US" w:eastAsia="zh-CN"/>
        </w:rPr>
        <w:t>需要增加新进人员的电话费、工会费、车补费</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所以</w:t>
      </w:r>
      <w:r>
        <w:rPr>
          <w:rFonts w:hint="eastAsia" w:ascii="Times New Roman" w:hAnsi="Times New Roman" w:eastAsia="仿宋" w:cs="Times New Roman"/>
          <w:sz w:val="32"/>
          <w:szCs w:val="32"/>
        </w:rPr>
        <w:t>日常公用经费就相应提高了。</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2021</w:t>
      </w:r>
      <w:r>
        <w:rPr>
          <w:rFonts w:hint="eastAsia" w:ascii="Times New Roman" w:hAnsi="Times New Roman" w:eastAsia="仿宋" w:cs="Times New Roman"/>
          <w:sz w:val="32"/>
          <w:szCs w:val="32"/>
        </w:rPr>
        <w:t>年，我部门财政拨款“三公”经费预算安排</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万元，其中：</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因公出国（境）费0万元，较上年持平，无增减变化；</w:t>
      </w:r>
    </w:p>
    <w:p>
      <w:pPr>
        <w:autoSpaceDE w:val="0"/>
        <w:autoSpaceDN w:val="0"/>
        <w:adjustRightInd w:val="0"/>
        <w:ind w:left="198" w:firstLine="640" w:firstLineChars="200"/>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公务用车购置及运维费</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万元，较上年减少</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万元，主要是因为</w:t>
      </w:r>
      <w:r>
        <w:rPr>
          <w:rFonts w:hint="eastAsia" w:ascii="Times New Roman" w:hAnsi="Times New Roman" w:eastAsia="仿宋" w:cs="Times New Roman"/>
          <w:sz w:val="32"/>
          <w:szCs w:val="32"/>
          <w:lang w:val="en-US" w:eastAsia="zh-CN"/>
        </w:rPr>
        <w:t>节约开支，减少公车运行费用。</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Times New Roman" w:hAnsi="Times New Roman" w:eastAsia="仿宋" w:cs="Times New Roman"/>
          <w:sz w:val="32"/>
          <w:szCs w:val="32"/>
        </w:rPr>
        <w:t>公务接待费0万元，较上年持平，无增减变化。</w:t>
      </w:r>
    </w:p>
    <w:p>
      <w:pPr>
        <w:autoSpaceDE w:val="0"/>
        <w:autoSpaceDN w:val="0"/>
        <w:adjustRightInd w:val="0"/>
        <w:ind w:firstLine="960" w:firstLineChars="300"/>
        <w:jc w:val="left"/>
        <w:rPr>
          <w:rFonts w:hint="eastAsia"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bookmarkStart w:id="0" w:name="_Toc64901478"/>
      <w:r>
        <w:rPr>
          <w:rFonts w:hint="eastAsia" w:ascii="Times New Roman" w:hAnsi="Times New Roman" w:eastAsia="仿宋" w:cs="Times New Roman"/>
          <w:sz w:val="32"/>
          <w:szCs w:val="32"/>
          <w:lang w:eastAsia="zh-CN"/>
        </w:rPr>
        <w:t>总体绩效目标</w:t>
      </w:r>
      <w:bookmarkEnd w:id="0"/>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要以习近平新时代中国特色社会主义思想为指导，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bookmarkStart w:id="1" w:name="_Toc64901479"/>
      <w:r>
        <w:rPr>
          <w:rFonts w:hint="eastAsia" w:ascii="Times New Roman" w:hAnsi="Times New Roman" w:eastAsia="仿宋" w:cs="Times New Roman"/>
          <w:sz w:val="32"/>
          <w:szCs w:val="32"/>
          <w:lang w:eastAsia="zh-CN"/>
        </w:rPr>
        <w:t>分项绩效目标</w:t>
      </w:r>
      <w:bookmarkEnd w:id="1"/>
    </w:p>
    <w:p>
      <w:pPr>
        <w:autoSpaceDE w:val="0"/>
        <w:autoSpaceDN w:val="0"/>
        <w:adjustRightInd w:val="0"/>
        <w:ind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（一）执纪问责。受理信访、举报，集中管理问题线索、组织协调案件查办，调查、审查违纪违法案件，对案件审理提出处理意见。绩效目标：严肃查处各项违纪违法案件，坚决维护党纪国法尊严。</w:t>
      </w:r>
    </w:p>
    <w:p>
      <w:pPr>
        <w:autoSpaceDE w:val="0"/>
        <w:autoSpaceDN w:val="0"/>
        <w:adjustRightInd w:val="0"/>
        <w:ind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二）党风廉政建设。组织协调全区党风廉政建设和反腐败宣传、教育、课题研究、制度起草修订等工作；承担区委惩治和预防腐败体系领导小组办公室的日常工作。绩效目标：积极发挥职能作用，加强党风廉政建设，遏制腐败现象。</w:t>
      </w:r>
    </w:p>
    <w:p>
      <w:pPr>
        <w:autoSpaceDE w:val="0"/>
        <w:autoSpaceDN w:val="0"/>
        <w:adjustRightInd w:val="0"/>
        <w:ind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三）监督检查及巡察督查。监督检查党内法规政策、国家法律法规、党风廉政建设等的执行情况；履行区政府纠正行业不正之风办公室职能；贯彻落实区委有关部署，开展常态化全覆盖监督；做好对区委巡察办、巡察组的服务保障工作。绩效目标：加大问责力度，促进“两个责任”有效落实；促进巡视监督常态化、全覆盖。</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bookmarkStart w:id="2" w:name="_Toc64901480"/>
      <w:r>
        <w:rPr>
          <w:rFonts w:hint="eastAsia" w:ascii="Times New Roman" w:hAnsi="Times New Roman" w:eastAsia="仿宋" w:cs="Times New Roman"/>
          <w:sz w:val="32"/>
          <w:szCs w:val="32"/>
          <w:lang w:eastAsia="zh-CN"/>
        </w:rPr>
        <w:t>工作保障措施</w:t>
      </w:r>
      <w:bookmarkEnd w:id="2"/>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一)突出纠风除弊，全力履行监督第一职责。摸清监督家底，按照“横向到边、纵向到底、全面覆盖”的原则，对全区监督对象和监察对象进行细致的排查摸底，全面掌握监督对象相关信息并逐一登记造册，为实现监督全覆盖奠定基础。强化日常监督，明确监督内容、确定监督对象、列明监督方式，进行日常全方位监督；开展机关食堂、办公用房等专项清理，并参与到市纪委组织的“四风”交叉检查活动。创新监督方式，利用“四风随手拍”微信公众号，为群众搭建一个随时随地可以举报公款吃喝、大操大办婚丧喜庆等问题的“指尖监督网络平台”，及时受理投诉举报件。找准监督重点，盯紧节假日监督，重申“十个严禁”；盯紧商场超市、服务窗口等重要场所，盯紧党员干部违规公款消费、违规使用公车等突出问题，采取突击暗访、交叉检查等方式开展监督检查，对违纪干部进行严肃追责。激活监督末梢，把全区51个社区列入监督范围，设立社区监督委员会，切切实实把监督延伸到最后“一公里”。</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始终保持高压态势，全力夺取反腐败斗争压倒性胜利。规范问题线索处置，按照线索不同来源，分别建立信访举报、省委巡视、监督检查等7类问题线索登记台账，及时受理、及时登记，防止线索失管、失控等问题。统筹用好“两把尺子”，在履职过程中，注重用好党章党规党纪和宪法法律法规“两把尺子”，明晰刻度、把握边界，深化运用监督执纪“四种形态”，科学分类四种形态占比。坚定不移惩治腐败，对顶风违纪、不收手、不收敛的行为坚决查处。</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 xml:space="preserve">坚守人民立场，全力维护群众切身利益。坚决惩治涉黑“保护伞”，对十八大以来查处的所有公职人员涉黑涉恶问题进行全面排查梳理。深入开展扶贫领域腐败和作风问题专项治理；全力抓好“一问责八清理”和“微腐败”问题整改“回头看”。  </w:t>
      </w:r>
    </w:p>
    <w:p>
      <w:pPr>
        <w:autoSpaceDE w:val="0"/>
        <w:autoSpaceDN w:val="0"/>
        <w:adjustRightInd w:val="0"/>
        <w:ind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二）立足职责定位，全力营造良好政治生态。坚决维护政令畅通。坚持把“两个维护”落实情况作为政治监督的首要内容；坚持把严明党的政治纪律和政治规矩摆在首位，重点加强对十九大精神和各级党委政府重大决策部署贯彻落实情况的监督，确保政令畅通。严肃党内政治生活。对全区各级党组织落细落实“三会一课”、民主生活会、个人有关事项报告等情况进行监督检查。加强廉政警示教育。组织全区领导干部召开政治性警示教育大会、观看警示教育展；创新开展庭审式、订单式警示教育；带头并引领全区干部学习贯彻新修订的党纪处分条例，教育党员干部自觉传承党的优良传统和作风。</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层层传导压力，全力推动管党治党责任落实。明责，签字背书压实责任。分解具体任务，责任到人、到部门，形成各有侧重的护林格局；组织全区纪检监察系统层层签订全面从严治党监督责任状，明确责任重点和履责要求，层层压紧护林责任。督责，充分发挥协助作用。每季度向区主体办发送《主体责任建议卡》，并向各乡镇街道、区直各部门发送《主体责任提醒卡》，督促全区各级党委(党组)认真完成建议卡和提醒卡中的各项任务。考责，提高责任落实水平。成立8个督查考评组，采取“3+”方式，对73个单位领导干部履行“一岗双责”情况进行考核评价，对后3名党委书记进行约谈。问责，倒逼责任落实到位。突出问题导向，实行一案双查，通过问责倒逼各级党委抓好“两个责任”落实。</w:t>
      </w:r>
    </w:p>
    <w:p>
      <w:pPr>
        <w:autoSpaceDE w:val="0"/>
        <w:autoSpaceDN w:val="0"/>
        <w:adjustRightInd w:val="0"/>
        <w:ind w:left="198" w:firstLine="640" w:firstLineChars="200"/>
        <w:jc w:val="left"/>
        <w:rPr>
          <w:rFonts w:ascii="方正书宋_GBK" w:hAnsi="方正书宋_GBK" w:eastAsia="方正书宋_GBK" w:cs="方正书宋_GBK"/>
          <w:b/>
        </w:rPr>
      </w:pPr>
      <w:r>
        <w:rPr>
          <w:rFonts w:hint="eastAsia" w:ascii="Times New Roman" w:hAnsi="Times New Roman" w:eastAsia="仿宋" w:cs="Times New Roman"/>
          <w:sz w:val="32"/>
          <w:szCs w:val="32"/>
          <w:lang w:eastAsia="zh-CN"/>
        </w:rPr>
        <w:t>部门职责及工作活动绩效目标指标：</w:t>
      </w:r>
    </w:p>
    <w:p>
      <w:pPr>
        <w:ind w:firstLine="562" w:firstLineChars="200"/>
        <w:jc w:val="left"/>
        <w:outlineLvl w:val="3"/>
        <w:rPr>
          <w:rFonts w:hAnsi="宋体"/>
          <w:b/>
          <w:sz w:val="28"/>
        </w:rPr>
      </w:pPr>
      <w:bookmarkStart w:id="3" w:name="_Toc64901481"/>
      <w:r>
        <w:rPr>
          <w:rFonts w:hint="eastAsia" w:ascii="方正仿宋_GBK" w:eastAsia="方正仿宋_GBK"/>
          <w:b/>
          <w:sz w:val="28"/>
        </w:rPr>
        <w:t>1.2020年度省、市专项巡视巡查工作经费绩效目标表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1、2020年度省、市专项巡视巡查工作经费绩效目标表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中共衡水市桃城区纪律检查委员会本级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131102214TUQQPGA8TP35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年度省、市专项巡视巡查工作经费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w:t>
            </w:r>
            <w:r>
              <w:rPr>
                <w:rFonts w:ascii="方正书宋_GBK" w:eastAsia="方正书宋_GBK"/>
              </w:rPr>
              <w:t>15</w:t>
            </w:r>
            <w:r>
              <w:rPr>
                <w:rFonts w:hint="eastAsia" w:ascii="方正书宋_GBK" w:eastAsia="方正书宋_GBK"/>
              </w:rPr>
              <w:t>万元，其中财政拨款</w:t>
            </w:r>
            <w:r>
              <w:rPr>
                <w:rFonts w:ascii="方正书宋_GBK" w:eastAsia="方正书宋_GBK"/>
              </w:rPr>
              <w:t>15</w:t>
            </w:r>
            <w:r>
              <w:rPr>
                <w:rFonts w:hint="eastAsia" w:ascii="方正书宋_GBK" w:eastAsia="方正书宋_GBK"/>
              </w:rPr>
              <w:t>万元，主要用于巡察。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完成年初的巡察计划</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巡察时效性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巡察时效性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巡察带来的正面效益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巡察带来的正面效益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巡察带来的社会效益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巡察带来的社会效益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巡察带来的政治生态效益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巡察带来的政治生态效益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巡察带来的持续正面影响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巡察带来的持续正面影响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4" w:name="_Toc64901482"/>
      <w:r>
        <w:rPr>
          <w:rFonts w:hint="eastAsia" w:ascii="方正仿宋_GBK" w:eastAsia="方正仿宋_GBK"/>
          <w:b/>
          <w:sz w:val="28"/>
        </w:rPr>
        <w:t>2.专题学习培训经费绩效目标表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2、专题学习培训经费绩效目标表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中共衡水市桃城区纪律检查委员会本级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13110221B4HIDGG9V4ULO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专题学习培训经费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w:t>
            </w:r>
            <w:r>
              <w:rPr>
                <w:rFonts w:ascii="方正书宋_GBK" w:eastAsia="方正书宋_GBK"/>
              </w:rPr>
              <w:t>10</w:t>
            </w:r>
            <w:r>
              <w:rPr>
                <w:rFonts w:hint="eastAsia" w:ascii="方正书宋_GBK" w:eastAsia="方正书宋_GBK"/>
              </w:rPr>
              <w:t>万元，其中财政拨款</w:t>
            </w:r>
            <w:r>
              <w:rPr>
                <w:rFonts w:ascii="方正书宋_GBK" w:eastAsia="方正书宋_GBK"/>
              </w:rPr>
              <w:t>10</w:t>
            </w:r>
            <w:r>
              <w:rPr>
                <w:rFonts w:hint="eastAsia" w:ascii="方正书宋_GBK" w:eastAsia="方正书宋_GBK"/>
              </w:rPr>
              <w:t>万元，主要用于专题学习培训。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完成上级要求的业务培训</w:t>
            </w:r>
          </w:p>
        </w:tc>
      </w:tr>
    </w:tbl>
    <w:p>
      <w:pPr>
        <w:spacing w:line="14" w:lineRule="exact"/>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培训人员数量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培训效果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干部服务意识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干部服务意识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干部政治水平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干部政治水平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干部业务素质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干部业务素质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干部满意度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5" w:name="_Toc64901483"/>
      <w:r>
        <w:rPr>
          <w:rFonts w:hint="eastAsia" w:ascii="方正仿宋_GBK" w:eastAsia="方正仿宋_GBK"/>
          <w:b/>
          <w:sz w:val="28"/>
        </w:rPr>
        <w:t>3.乡镇办纪（工）委人员工作经费绩效目标表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3、乡镇办纪（工）委人员工作经费绩效目标表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中共衡水市桃城区纪律检查委员会本级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13110221BYEGT6B22TP5T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乡镇办纪（工）委人员工作经费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w:t>
            </w:r>
            <w:r>
              <w:rPr>
                <w:rFonts w:ascii="方正书宋_GBK" w:eastAsia="方正书宋_GBK"/>
              </w:rPr>
              <w:t>40</w:t>
            </w:r>
            <w:r>
              <w:rPr>
                <w:rFonts w:hint="eastAsia" w:ascii="方正书宋_GBK" w:eastAsia="方正书宋_GBK"/>
              </w:rPr>
              <w:t>万元，其中财政拨款</w:t>
            </w:r>
            <w:r>
              <w:rPr>
                <w:rFonts w:ascii="方正书宋_GBK" w:eastAsia="方正书宋_GBK"/>
              </w:rPr>
              <w:t>40</w:t>
            </w:r>
            <w:r>
              <w:rPr>
                <w:rFonts w:hint="eastAsia" w:ascii="方正书宋_GBK" w:eastAsia="方正书宋_GBK"/>
              </w:rPr>
              <w:t>万元，主要用于乡镇办纪工委办案办公。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乡镇办纪工委日常办案业务</w:t>
            </w:r>
          </w:p>
        </w:tc>
      </w:tr>
    </w:tbl>
    <w:p>
      <w:pPr>
        <w:spacing w:line="14" w:lineRule="exact"/>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完成案件数量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完成案件数量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案件评查质量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完成案件质量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完成案件质量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完成案件时效性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完成案件时效性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完成案件带来的正面效益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完成案件带来的正面效益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案件社会效益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案件社会效益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案件政治生态稳定性效益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案件政治生态稳定性效益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案件政治效益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案件政治效益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案件受害人服务对象满意度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案件受害人服务对象满意度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案件评查质量</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6" w:name="_Toc64901484"/>
      <w:r>
        <w:rPr>
          <w:rFonts w:hint="eastAsia" w:ascii="方正仿宋_GBK" w:eastAsia="方正仿宋_GBK"/>
          <w:b/>
          <w:sz w:val="28"/>
        </w:rPr>
        <w:t>4.辅警劳务费绩效目标表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4、辅警劳务费绩效目标表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中共衡水市桃城区纪律检查委员会本级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13110221C9T6EQ3O13UFQ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辅警劳务费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w:t>
            </w:r>
            <w:r>
              <w:rPr>
                <w:rFonts w:ascii="方正书宋_GBK" w:eastAsia="方正书宋_GBK"/>
              </w:rPr>
              <w:t>142</w:t>
            </w:r>
            <w:r>
              <w:rPr>
                <w:rFonts w:hint="eastAsia" w:ascii="方正书宋_GBK" w:eastAsia="方正书宋_GBK"/>
              </w:rPr>
              <w:t>万元，其中财政拨款</w:t>
            </w:r>
            <w:r>
              <w:rPr>
                <w:rFonts w:ascii="方正书宋_GBK" w:eastAsia="方正书宋_GBK"/>
              </w:rPr>
              <w:t>142</w:t>
            </w:r>
            <w:r>
              <w:rPr>
                <w:rFonts w:hint="eastAsia" w:ascii="方正书宋_GBK" w:eastAsia="方正书宋_GBK"/>
              </w:rPr>
              <w:t>万元，主要用于辅警劳务费。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完成辅警年度工作任务</w:t>
            </w:r>
          </w:p>
        </w:tc>
      </w:tr>
    </w:tbl>
    <w:p>
      <w:pPr>
        <w:spacing w:line="14" w:lineRule="exact"/>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辅警人员管理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发放工资准确</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发放工资准确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发放工资及时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发放工资及时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发放工资后有助于办案质量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发放工资后有助于办案质量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辅警责任感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辅警责任感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政治生态稳定性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政治生态稳定性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辅警归属感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辅警归属感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辅警满意度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辅警人员管理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7" w:name="_Toc64901485"/>
      <w:r>
        <w:rPr>
          <w:rFonts w:hint="eastAsia" w:ascii="方正仿宋_GBK" w:eastAsia="方正仿宋_GBK"/>
          <w:b/>
          <w:sz w:val="28"/>
        </w:rPr>
        <w:t>5.巡察办工作经费绩效目标表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5、巡察办工作经费绩效目标表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中共衡水市桃城区纪律检查委员会本级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13110221NCEEYQDXGL82C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w:t>
            </w:r>
            <w:r>
              <w:rPr>
                <w:rFonts w:ascii="方正书宋_GBK" w:eastAsia="方正书宋_GBK"/>
              </w:rPr>
              <w:t>70</w:t>
            </w:r>
            <w:r>
              <w:rPr>
                <w:rFonts w:hint="eastAsia" w:ascii="方正书宋_GBK" w:eastAsia="方正书宋_GBK"/>
              </w:rPr>
              <w:t>万元，其中财政拨款</w:t>
            </w:r>
            <w:r>
              <w:rPr>
                <w:rFonts w:ascii="方正书宋_GBK" w:eastAsia="方正书宋_GBK"/>
              </w:rPr>
              <w:t>70</w:t>
            </w:r>
            <w:r>
              <w:rPr>
                <w:rFonts w:hint="eastAsia" w:ascii="方正书宋_GBK" w:eastAsia="方正书宋_GBK"/>
              </w:rPr>
              <w:t>万元，主要用于巡察。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完成年初的巡察计划</w:t>
            </w:r>
          </w:p>
        </w:tc>
      </w:tr>
    </w:tbl>
    <w:p>
      <w:pPr>
        <w:spacing w:line="14" w:lineRule="exact"/>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巡察时效性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巡察时效性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巡察带来的正面效益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巡察带来的正面效益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巡察带来的社会效益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巡察带来的社会效益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巡察带来的政治生态效益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巡察带来的政治生态效益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巡察带来的持续正面影响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巡察带来的持续正面影响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巡察满意度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巡察评价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8" w:name="_Toc64901486"/>
      <w:r>
        <w:rPr>
          <w:rFonts w:hint="eastAsia" w:ascii="方正仿宋_GBK" w:eastAsia="方正仿宋_GBK"/>
          <w:b/>
          <w:sz w:val="28"/>
        </w:rPr>
        <w:t>6.纪检监察信息化建设经费绩效目标表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6、纪检监察信息化建设经费绩效目标表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中共衡水市桃城区纪律检查委员会本级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13110221SXOZLFY85PR6P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纪检监察信息化建设经费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w:t>
            </w:r>
            <w:r>
              <w:rPr>
                <w:rFonts w:ascii="方正书宋_GBK" w:eastAsia="方正书宋_GBK"/>
              </w:rPr>
              <w:t>150</w:t>
            </w:r>
            <w:r>
              <w:rPr>
                <w:rFonts w:hint="eastAsia" w:ascii="方正书宋_GBK" w:eastAsia="方正书宋_GBK"/>
              </w:rPr>
              <w:t>万元，其中财政拨款</w:t>
            </w:r>
            <w:r>
              <w:rPr>
                <w:rFonts w:ascii="方正书宋_GBK" w:eastAsia="方正书宋_GBK"/>
              </w:rPr>
              <w:t>150</w:t>
            </w:r>
            <w:r>
              <w:rPr>
                <w:rFonts w:hint="eastAsia" w:ascii="方正书宋_GBK" w:eastAsia="方正书宋_GBK"/>
              </w:rPr>
              <w:t>万元，主要用于纪检监察信息化建设。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购买信息化建设服务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购买信息化建设设备</w:t>
            </w:r>
          </w:p>
        </w:tc>
      </w:tr>
    </w:tbl>
    <w:p>
      <w:pPr>
        <w:spacing w:line="14" w:lineRule="exact"/>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购买信息化数量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购买信息化数量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信息化建设评价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购买信息化质量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购买信息化质量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购买信息化时效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购买信息化时效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购买信息化成本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购买信息化成本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信息化产生更好的工作效果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信息化产生更好的工作效果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信息化稳定政治生态效果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信息化稳定政治生态效果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信息化推动工作开展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信息化推动工作开展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信息化建设评价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9" w:name="_Toc64901487"/>
      <w:r>
        <w:rPr>
          <w:rFonts w:hint="eastAsia" w:ascii="方正仿宋_GBK" w:eastAsia="方正仿宋_GBK"/>
          <w:b/>
          <w:sz w:val="28"/>
        </w:rPr>
        <w:t>7.办案业务费绩效目标表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7、办案业务费绩效目标表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中共衡水市桃城区纪律检查委员会本级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13110221Z51W6TLLG4WMW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w:t>
            </w:r>
            <w:r>
              <w:rPr>
                <w:rFonts w:ascii="方正书宋_GBK" w:eastAsia="方正书宋_GBK"/>
              </w:rPr>
              <w:t>180</w:t>
            </w:r>
            <w:r>
              <w:rPr>
                <w:rFonts w:hint="eastAsia" w:ascii="方正书宋_GBK" w:eastAsia="方正书宋_GBK"/>
              </w:rPr>
              <w:t>万元，其中财政拨款</w:t>
            </w:r>
            <w:r>
              <w:rPr>
                <w:rFonts w:ascii="方正书宋_GBK" w:eastAsia="方正书宋_GBK"/>
              </w:rPr>
              <w:t>180</w:t>
            </w:r>
            <w:r>
              <w:rPr>
                <w:rFonts w:hint="eastAsia" w:ascii="方正书宋_GBK" w:eastAsia="方正书宋_GBK"/>
              </w:rPr>
              <w:t>万元，主要用于办案业务费。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完成年初制定的办案计划</w:t>
            </w:r>
          </w:p>
        </w:tc>
      </w:tr>
    </w:tbl>
    <w:p>
      <w:pPr>
        <w:spacing w:line="14" w:lineRule="exact"/>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办案时效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办案产生的正面收益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办案产生的正面收益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办案社会影响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办案社会影响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办案政治生态影响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办案政治生态影响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办案带来的正面影响力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办案带来的正面影响力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办案对服务对象的满意程度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办案对服务对象的满意程度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案件评查</w:t>
            </w:r>
          </w:p>
        </w:tc>
      </w:tr>
    </w:tbl>
    <w:p>
      <w:pPr>
        <w:ind w:firstLine="420" w:firstLineChars="200"/>
        <w:jc w:val="center"/>
        <w:rPr>
          <w:rFonts w:ascii="方正书宋_GBK" w:hAnsi="方正书宋_GBK" w:eastAsia="方正书宋_GBK" w:cs="方正书宋_GBK"/>
        </w:rPr>
      </w:pPr>
    </w:p>
    <w:p>
      <w:pPr>
        <w:spacing w:line="300" w:lineRule="exact"/>
        <w:jc w:val="left"/>
        <w:outlineLvl w:val="0"/>
        <w:sectPr>
          <w:footerReference r:id="rId3" w:type="default"/>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r>
        <w:rPr>
          <w:rFonts w:hint="eastAsia" w:ascii="Times New Roman" w:hAnsi="Times New Roman" w:eastAsia="仿宋" w:cs="Times New Roman"/>
          <w:sz w:val="32"/>
          <w:szCs w:val="24"/>
          <w:lang w:eastAsia="zh-CN"/>
        </w:rPr>
        <w:t>2021</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lang w:val="en-US" w:eastAsia="zh-CN"/>
        </w:rPr>
        <w:t>100</w:t>
      </w:r>
      <w:r>
        <w:rPr>
          <w:rFonts w:ascii="Times New Roman" w:hAnsi="Times New Roman" w:eastAsia="仿宋" w:cs="Times New Roman"/>
          <w:sz w:val="32"/>
          <w:szCs w:val="24"/>
        </w:rPr>
        <w:t>万元。具体内容见下表。</w:t>
      </w:r>
    </w:p>
    <w:p>
      <w:pPr>
        <w:jc w:val="center"/>
        <w:outlineLvl w:val="0"/>
        <w:rPr>
          <w:rFonts w:hint="eastAsia" w:ascii="Times New Roman" w:hAnsi="Times New Roman" w:eastAsia="仿宋" w:cs="Times New Roman"/>
          <w:sz w:val="32"/>
          <w:szCs w:val="24"/>
        </w:rPr>
      </w:pPr>
      <w:bookmarkStart w:id="10" w:name="_Toc1489403"/>
      <w:r>
        <w:rPr>
          <w:rFonts w:hint="eastAsia" w:ascii="方正小标宋_GBK" w:eastAsia="方正小标宋_GBK"/>
          <w:sz w:val="32"/>
        </w:rPr>
        <w:t>部门政府采购预算</w:t>
      </w:r>
      <w:bookmarkEnd w:id="10"/>
    </w:p>
    <w:tbl>
      <w:tblPr>
        <w:tblStyle w:val="7"/>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1161"/>
        <w:gridCol w:w="862"/>
        <w:gridCol w:w="874"/>
        <w:gridCol w:w="649"/>
        <w:gridCol w:w="649"/>
        <w:gridCol w:w="1161"/>
        <w:gridCol w:w="1169"/>
        <w:gridCol w:w="1169"/>
        <w:gridCol w:w="1169"/>
        <w:gridCol w:w="850"/>
        <w:gridCol w:w="854"/>
        <w:gridCol w:w="854"/>
        <w:gridCol w:w="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92"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p>
        </w:tc>
        <w:tc>
          <w:tcPr>
            <w:tcW w:w="6876"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书宋_GBK" w:eastAsia="方正书宋_GBK"/>
                <w:sz w:val="24"/>
              </w:rPr>
            </w:pPr>
          </w:p>
          <w:p>
            <w:pPr>
              <w:spacing w:line="300" w:lineRule="exact"/>
              <w:jc w:val="right"/>
              <w:rPr>
                <w:rFonts w:ascii="方正书宋_GBK" w:eastAsia="方正书宋_GBK"/>
                <w:sz w:val="24"/>
              </w:rPr>
            </w:pPr>
            <w:r>
              <w:rPr>
                <w:rFonts w:hint="eastAsia" w:ascii="方正书宋_GBK" w:eastAsia="方正书宋_GBK"/>
                <w:sz w:val="24"/>
              </w:rPr>
              <w:t>单位：</w:t>
            </w:r>
            <w:r>
              <w:rPr>
                <w:rFonts w:hint="eastAsia" w:ascii="方正书宋_GBK" w:eastAsia="方正书宋_GBK"/>
                <w:sz w:val="24"/>
                <w:lang w:val="en-US" w:eastAsia="zh-CN"/>
              </w:rPr>
              <w:t>万</w:t>
            </w:r>
            <w:r>
              <w:rPr>
                <w:rFonts w:hint="eastAsia"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9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862"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87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4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64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11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76" w:type="dxa"/>
            <w:gridSpan w:val="7"/>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862" w:type="dxa"/>
            <w:vMerge w:val="continue"/>
            <w:shd w:val="clear" w:color="auto" w:fill="auto"/>
            <w:noWrap w:val="0"/>
            <w:vAlign w:val="center"/>
          </w:tcPr>
          <w:p>
            <w:pPr>
              <w:spacing w:line="300" w:lineRule="exact"/>
              <w:jc w:val="left"/>
              <w:outlineLvl w:val="0"/>
            </w:pPr>
          </w:p>
        </w:tc>
        <w:tc>
          <w:tcPr>
            <w:tcW w:w="874" w:type="dxa"/>
            <w:vMerge w:val="continue"/>
            <w:shd w:val="clear" w:color="auto" w:fill="auto"/>
            <w:noWrap w:val="0"/>
            <w:vAlign w:val="center"/>
          </w:tcPr>
          <w:p>
            <w:pPr>
              <w:spacing w:line="300" w:lineRule="exact"/>
              <w:jc w:val="left"/>
              <w:outlineLvl w:val="0"/>
            </w:pPr>
          </w:p>
        </w:tc>
        <w:tc>
          <w:tcPr>
            <w:tcW w:w="649" w:type="dxa"/>
            <w:vMerge w:val="continue"/>
            <w:shd w:val="clear" w:color="auto" w:fill="auto"/>
            <w:noWrap w:val="0"/>
            <w:vAlign w:val="center"/>
          </w:tcPr>
          <w:p>
            <w:pPr>
              <w:spacing w:line="300" w:lineRule="exact"/>
              <w:jc w:val="left"/>
              <w:outlineLvl w:val="0"/>
            </w:pPr>
          </w:p>
        </w:tc>
        <w:tc>
          <w:tcPr>
            <w:tcW w:w="649" w:type="dxa"/>
            <w:vMerge w:val="continue"/>
            <w:shd w:val="clear" w:color="auto" w:fill="auto"/>
            <w:noWrap w:val="0"/>
            <w:vAlign w:val="center"/>
          </w:tcPr>
          <w:p>
            <w:pPr>
              <w:spacing w:line="300" w:lineRule="exact"/>
              <w:jc w:val="left"/>
              <w:outlineLvl w:val="0"/>
            </w:pPr>
          </w:p>
        </w:tc>
        <w:tc>
          <w:tcPr>
            <w:tcW w:w="1161" w:type="dxa"/>
            <w:vMerge w:val="continue"/>
            <w:shd w:val="clear" w:color="auto" w:fill="auto"/>
            <w:noWrap w:val="0"/>
            <w:vAlign w:val="center"/>
          </w:tcPr>
          <w:p>
            <w:pPr>
              <w:spacing w:line="300" w:lineRule="exact"/>
              <w:jc w:val="left"/>
              <w:outlineLvl w:val="0"/>
            </w:pPr>
          </w:p>
        </w:tc>
        <w:tc>
          <w:tcPr>
            <w:tcW w:w="116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96"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1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6" w:type="dxa"/>
            <w:vMerge w:val="continue"/>
            <w:shd w:val="clear" w:color="auto" w:fill="auto"/>
            <w:noWrap w:val="0"/>
            <w:vAlign w:val="center"/>
          </w:tcPr>
          <w:p>
            <w:pPr>
              <w:spacing w:line="300" w:lineRule="exact"/>
              <w:jc w:val="left"/>
              <w:outlineLvl w:val="0"/>
            </w:pPr>
          </w:p>
        </w:tc>
        <w:tc>
          <w:tcPr>
            <w:tcW w:w="1161" w:type="dxa"/>
            <w:vMerge w:val="continue"/>
            <w:shd w:val="clear" w:color="auto" w:fill="auto"/>
            <w:noWrap w:val="0"/>
            <w:vAlign w:val="center"/>
          </w:tcPr>
          <w:p>
            <w:pPr>
              <w:spacing w:line="300" w:lineRule="exact"/>
              <w:jc w:val="left"/>
              <w:outlineLvl w:val="0"/>
            </w:pPr>
          </w:p>
        </w:tc>
        <w:tc>
          <w:tcPr>
            <w:tcW w:w="862" w:type="dxa"/>
            <w:vMerge w:val="continue"/>
            <w:shd w:val="clear" w:color="auto" w:fill="auto"/>
            <w:noWrap w:val="0"/>
            <w:vAlign w:val="center"/>
          </w:tcPr>
          <w:p>
            <w:pPr>
              <w:spacing w:line="300" w:lineRule="exact"/>
              <w:jc w:val="left"/>
              <w:outlineLvl w:val="0"/>
            </w:pPr>
          </w:p>
        </w:tc>
        <w:tc>
          <w:tcPr>
            <w:tcW w:w="874" w:type="dxa"/>
            <w:vMerge w:val="continue"/>
            <w:shd w:val="clear" w:color="auto" w:fill="auto"/>
            <w:noWrap w:val="0"/>
            <w:vAlign w:val="center"/>
          </w:tcPr>
          <w:p>
            <w:pPr>
              <w:spacing w:line="300" w:lineRule="exact"/>
              <w:jc w:val="left"/>
              <w:outlineLvl w:val="0"/>
            </w:pPr>
          </w:p>
        </w:tc>
        <w:tc>
          <w:tcPr>
            <w:tcW w:w="649" w:type="dxa"/>
            <w:vMerge w:val="continue"/>
            <w:shd w:val="clear" w:color="auto" w:fill="auto"/>
            <w:noWrap w:val="0"/>
            <w:vAlign w:val="center"/>
          </w:tcPr>
          <w:p>
            <w:pPr>
              <w:spacing w:line="300" w:lineRule="exact"/>
              <w:jc w:val="left"/>
              <w:outlineLvl w:val="0"/>
            </w:pPr>
          </w:p>
        </w:tc>
        <w:tc>
          <w:tcPr>
            <w:tcW w:w="649" w:type="dxa"/>
            <w:vMerge w:val="continue"/>
            <w:shd w:val="clear" w:color="auto" w:fill="auto"/>
            <w:noWrap w:val="0"/>
            <w:vAlign w:val="center"/>
          </w:tcPr>
          <w:p>
            <w:pPr>
              <w:spacing w:line="300" w:lineRule="exact"/>
              <w:jc w:val="left"/>
              <w:outlineLvl w:val="0"/>
            </w:pPr>
          </w:p>
        </w:tc>
        <w:tc>
          <w:tcPr>
            <w:tcW w:w="1161" w:type="dxa"/>
            <w:vMerge w:val="continue"/>
            <w:shd w:val="clear" w:color="auto" w:fill="auto"/>
            <w:noWrap w:val="0"/>
            <w:vAlign w:val="center"/>
          </w:tcPr>
          <w:p>
            <w:pPr>
              <w:spacing w:line="300" w:lineRule="exact"/>
              <w:jc w:val="left"/>
              <w:outlineLvl w:val="0"/>
            </w:pPr>
          </w:p>
        </w:tc>
        <w:tc>
          <w:tcPr>
            <w:tcW w:w="1169" w:type="dxa"/>
            <w:vMerge w:val="continue"/>
            <w:shd w:val="clear" w:color="auto" w:fill="auto"/>
            <w:noWrap w:val="0"/>
            <w:vAlign w:val="center"/>
          </w:tcPr>
          <w:p>
            <w:pPr>
              <w:spacing w:line="300" w:lineRule="exact"/>
              <w:jc w:val="left"/>
              <w:outlineLvl w:val="0"/>
            </w:pPr>
          </w:p>
        </w:tc>
        <w:tc>
          <w:tcPr>
            <w:tcW w:w="11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5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5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11" w:type="dxa"/>
            <w:vMerge w:val="continue"/>
            <w:shd w:val="clear" w:color="auto" w:fill="auto"/>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中共衡水市桃城区纪律检查委员会小计</w:t>
            </w:r>
          </w:p>
        </w:tc>
        <w:tc>
          <w:tcPr>
            <w:tcW w:w="1161" w:type="dxa"/>
            <w:shd w:val="clear" w:color="auto" w:fill="auto"/>
            <w:noWrap w:val="0"/>
            <w:vAlign w:val="center"/>
          </w:tcPr>
          <w:p>
            <w:pPr>
              <w:spacing w:line="300" w:lineRule="exact"/>
              <w:jc w:val="right"/>
              <w:rPr>
                <w:rFonts w:ascii="方正书宋_GBK" w:eastAsia="方正书宋_GBK"/>
                <w:b/>
              </w:rPr>
            </w:pPr>
          </w:p>
        </w:tc>
        <w:tc>
          <w:tcPr>
            <w:tcW w:w="862" w:type="dxa"/>
            <w:shd w:val="clear" w:color="auto" w:fill="auto"/>
            <w:noWrap w:val="0"/>
            <w:vAlign w:val="center"/>
          </w:tcPr>
          <w:p>
            <w:pPr>
              <w:spacing w:line="300" w:lineRule="exact"/>
              <w:jc w:val="left"/>
              <w:rPr>
                <w:rFonts w:ascii="方正书宋_GBK" w:eastAsia="方正书宋_GBK"/>
                <w:b/>
              </w:rPr>
            </w:pPr>
          </w:p>
        </w:tc>
        <w:tc>
          <w:tcPr>
            <w:tcW w:w="874" w:type="dxa"/>
            <w:shd w:val="clear" w:color="auto" w:fill="auto"/>
            <w:noWrap w:val="0"/>
            <w:vAlign w:val="center"/>
          </w:tcPr>
          <w:p>
            <w:pPr>
              <w:spacing w:line="300" w:lineRule="exact"/>
              <w:jc w:val="left"/>
              <w:rPr>
                <w:rFonts w:ascii="方正书宋_GBK" w:eastAsia="方正书宋_GBK"/>
                <w:b/>
              </w:rPr>
            </w:pPr>
          </w:p>
        </w:tc>
        <w:tc>
          <w:tcPr>
            <w:tcW w:w="649" w:type="dxa"/>
            <w:shd w:val="clear" w:color="auto" w:fill="auto"/>
            <w:noWrap w:val="0"/>
            <w:vAlign w:val="center"/>
          </w:tcPr>
          <w:p>
            <w:pPr>
              <w:spacing w:line="300" w:lineRule="exact"/>
              <w:jc w:val="left"/>
              <w:rPr>
                <w:rFonts w:ascii="方正书宋_GBK" w:eastAsia="方正书宋_GBK"/>
                <w:b/>
              </w:rPr>
            </w:pPr>
          </w:p>
        </w:tc>
        <w:tc>
          <w:tcPr>
            <w:tcW w:w="649" w:type="dxa"/>
            <w:shd w:val="clear" w:color="auto" w:fill="auto"/>
            <w:noWrap w:val="0"/>
            <w:vAlign w:val="center"/>
          </w:tcPr>
          <w:p>
            <w:pPr>
              <w:spacing w:line="300" w:lineRule="exact"/>
              <w:jc w:val="right"/>
              <w:rPr>
                <w:rFonts w:ascii="方正书宋_GBK" w:eastAsia="方正书宋_GBK"/>
                <w:b/>
              </w:rPr>
            </w:pPr>
          </w:p>
        </w:tc>
        <w:tc>
          <w:tcPr>
            <w:tcW w:w="1161" w:type="dxa"/>
            <w:shd w:val="clear" w:color="auto" w:fill="auto"/>
            <w:noWrap w:val="0"/>
            <w:vAlign w:val="center"/>
          </w:tcPr>
          <w:p>
            <w:pPr>
              <w:spacing w:line="300" w:lineRule="exact"/>
              <w:jc w:val="right"/>
              <w:rPr>
                <w:rFonts w:ascii="方正书宋_GBK" w:eastAsia="方正书宋_GBK"/>
                <w:b/>
              </w:rPr>
            </w:pPr>
          </w:p>
        </w:tc>
        <w:tc>
          <w:tcPr>
            <w:tcW w:w="1169" w:type="dxa"/>
            <w:shd w:val="clear" w:color="auto" w:fill="auto"/>
            <w:noWrap w:val="0"/>
            <w:vAlign w:val="center"/>
          </w:tcPr>
          <w:p>
            <w:pPr>
              <w:spacing w:line="300" w:lineRule="exact"/>
              <w:jc w:val="right"/>
              <w:rPr>
                <w:rFonts w:hint="default" w:ascii="方正书宋_GBK" w:eastAsia="方正书宋_GBK"/>
                <w:b/>
                <w:lang w:val="en-US"/>
              </w:rPr>
            </w:pPr>
            <w:r>
              <w:rPr>
                <w:rFonts w:hint="eastAsia" w:ascii="方正书宋_GBK" w:eastAsia="方正书宋_GBK"/>
                <w:lang w:val="en-US" w:eastAsia="zh-CN"/>
              </w:rPr>
              <w:t>100</w:t>
            </w:r>
          </w:p>
        </w:tc>
        <w:tc>
          <w:tcPr>
            <w:tcW w:w="1169" w:type="dxa"/>
            <w:shd w:val="clear" w:color="auto" w:fill="auto"/>
            <w:noWrap w:val="0"/>
            <w:vAlign w:val="center"/>
          </w:tcPr>
          <w:p>
            <w:pPr>
              <w:spacing w:line="300" w:lineRule="exact"/>
              <w:jc w:val="right"/>
              <w:rPr>
                <w:rFonts w:hint="default" w:ascii="方正书宋_GBK" w:eastAsia="方正书宋_GBK"/>
                <w:b/>
                <w:lang w:val="en-US"/>
              </w:rPr>
            </w:pPr>
            <w:r>
              <w:rPr>
                <w:rFonts w:hint="eastAsia" w:ascii="方正书宋_GBK" w:eastAsia="方正书宋_GBK"/>
                <w:lang w:val="en-US" w:eastAsia="zh-CN"/>
              </w:rPr>
              <w:t>100</w:t>
            </w:r>
          </w:p>
        </w:tc>
        <w:tc>
          <w:tcPr>
            <w:tcW w:w="1169" w:type="dxa"/>
            <w:shd w:val="clear" w:color="auto" w:fill="auto"/>
            <w:noWrap w:val="0"/>
            <w:vAlign w:val="center"/>
          </w:tcPr>
          <w:p>
            <w:pPr>
              <w:spacing w:line="300" w:lineRule="exact"/>
              <w:jc w:val="right"/>
              <w:rPr>
                <w:rFonts w:hint="default" w:ascii="方正书宋_GBK" w:eastAsia="方正书宋_GBK"/>
                <w:b/>
                <w:lang w:val="en-US"/>
              </w:rPr>
            </w:pPr>
            <w:r>
              <w:rPr>
                <w:rFonts w:hint="eastAsia" w:ascii="方正书宋_GBK" w:eastAsia="方正书宋_GBK"/>
                <w:lang w:val="en-US" w:eastAsia="zh-CN"/>
              </w:rPr>
              <w:t>100</w:t>
            </w:r>
          </w:p>
        </w:tc>
        <w:tc>
          <w:tcPr>
            <w:tcW w:w="850" w:type="dxa"/>
            <w:shd w:val="clear" w:color="auto" w:fill="auto"/>
            <w:noWrap w:val="0"/>
            <w:vAlign w:val="center"/>
          </w:tcPr>
          <w:p>
            <w:pPr>
              <w:spacing w:line="300" w:lineRule="exact"/>
              <w:jc w:val="right"/>
              <w:rPr>
                <w:rFonts w:ascii="方正书宋_GBK" w:eastAsia="方正书宋_GBK"/>
                <w:b/>
              </w:rPr>
            </w:pPr>
          </w:p>
        </w:tc>
        <w:tc>
          <w:tcPr>
            <w:tcW w:w="854" w:type="dxa"/>
            <w:shd w:val="clear" w:color="auto" w:fill="auto"/>
            <w:noWrap w:val="0"/>
            <w:vAlign w:val="center"/>
          </w:tcPr>
          <w:p>
            <w:pPr>
              <w:spacing w:line="300" w:lineRule="exact"/>
              <w:jc w:val="right"/>
              <w:rPr>
                <w:rFonts w:ascii="方正书宋_GBK" w:eastAsia="方正书宋_GBK"/>
                <w:b/>
              </w:rPr>
            </w:pPr>
          </w:p>
        </w:tc>
        <w:tc>
          <w:tcPr>
            <w:tcW w:w="854" w:type="dxa"/>
            <w:shd w:val="clear" w:color="auto" w:fill="auto"/>
            <w:noWrap w:val="0"/>
            <w:vAlign w:val="center"/>
          </w:tcPr>
          <w:p>
            <w:pPr>
              <w:spacing w:line="300" w:lineRule="exact"/>
              <w:jc w:val="right"/>
              <w:rPr>
                <w:rFonts w:ascii="方正书宋_GBK" w:eastAsia="方正书宋_GBK"/>
                <w:b/>
              </w:rPr>
            </w:pPr>
          </w:p>
        </w:tc>
        <w:tc>
          <w:tcPr>
            <w:tcW w:w="81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6"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纪检监察信息化建设经费</w:t>
            </w:r>
          </w:p>
        </w:tc>
        <w:tc>
          <w:tcPr>
            <w:tcW w:w="1161"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150</w:t>
            </w:r>
          </w:p>
        </w:tc>
        <w:tc>
          <w:tcPr>
            <w:tcW w:w="862"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其他计算机设备</w:t>
            </w:r>
          </w:p>
        </w:tc>
        <w:tc>
          <w:tcPr>
            <w:tcW w:w="87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A02010199</w:t>
            </w:r>
          </w:p>
        </w:tc>
        <w:tc>
          <w:tcPr>
            <w:tcW w:w="649" w:type="dxa"/>
            <w:shd w:val="clear" w:color="auto" w:fill="auto"/>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rPr>
              <w:t>批</w:t>
            </w:r>
          </w:p>
        </w:tc>
        <w:tc>
          <w:tcPr>
            <w:tcW w:w="649"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1</w:t>
            </w:r>
          </w:p>
        </w:tc>
        <w:tc>
          <w:tcPr>
            <w:tcW w:w="1161"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w:t>
            </w:r>
          </w:p>
        </w:tc>
        <w:tc>
          <w:tcPr>
            <w:tcW w:w="1169"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w:t>
            </w:r>
            <w:r>
              <w:rPr>
                <w:rFonts w:ascii="方正书宋_GBK" w:eastAsia="方正书宋_GBK"/>
              </w:rPr>
              <w:t>0</w:t>
            </w:r>
          </w:p>
        </w:tc>
        <w:tc>
          <w:tcPr>
            <w:tcW w:w="1169"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w:t>
            </w:r>
            <w:r>
              <w:rPr>
                <w:rFonts w:ascii="方正书宋_GBK" w:eastAsia="方正书宋_GBK"/>
              </w:rPr>
              <w:t>0</w:t>
            </w:r>
          </w:p>
        </w:tc>
        <w:tc>
          <w:tcPr>
            <w:tcW w:w="1169"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w:t>
            </w:r>
          </w:p>
        </w:tc>
        <w:tc>
          <w:tcPr>
            <w:tcW w:w="850" w:type="dxa"/>
            <w:shd w:val="clear" w:color="auto" w:fill="auto"/>
            <w:noWrap w:val="0"/>
            <w:vAlign w:val="center"/>
          </w:tcPr>
          <w:p>
            <w:pPr>
              <w:spacing w:line="300" w:lineRule="exact"/>
              <w:jc w:val="right"/>
              <w:rPr>
                <w:rFonts w:ascii="方正书宋_GBK" w:eastAsia="方正书宋_GBK"/>
              </w:rPr>
            </w:pPr>
          </w:p>
        </w:tc>
        <w:tc>
          <w:tcPr>
            <w:tcW w:w="854" w:type="dxa"/>
            <w:shd w:val="clear" w:color="auto" w:fill="auto"/>
            <w:noWrap w:val="0"/>
            <w:vAlign w:val="center"/>
          </w:tcPr>
          <w:p>
            <w:pPr>
              <w:spacing w:line="300" w:lineRule="exact"/>
              <w:jc w:val="right"/>
              <w:rPr>
                <w:rFonts w:ascii="方正书宋_GBK" w:eastAsia="方正书宋_GBK"/>
              </w:rPr>
            </w:pPr>
          </w:p>
        </w:tc>
        <w:tc>
          <w:tcPr>
            <w:tcW w:w="854" w:type="dxa"/>
            <w:shd w:val="clear" w:color="auto" w:fill="auto"/>
            <w:noWrap w:val="0"/>
            <w:vAlign w:val="center"/>
          </w:tcPr>
          <w:p>
            <w:pPr>
              <w:spacing w:line="300" w:lineRule="exact"/>
              <w:jc w:val="right"/>
              <w:rPr>
                <w:rFonts w:ascii="方正书宋_GBK" w:eastAsia="方正书宋_GBK"/>
              </w:rPr>
            </w:pPr>
          </w:p>
        </w:tc>
        <w:tc>
          <w:tcPr>
            <w:tcW w:w="811" w:type="dxa"/>
            <w:shd w:val="clear" w:color="auto" w:fill="auto"/>
            <w:noWrap w:val="0"/>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仿宋" w:hAnsi="仿宋" w:eastAsia="仿宋" w:cs="Times New Roman"/>
          <w:sz w:val="32"/>
          <w:szCs w:val="32"/>
        </w:rPr>
        <w:t>中共衡水市桃城区纪律检查委员会</w:t>
      </w:r>
      <w:r>
        <w:rPr>
          <w:rFonts w:hint="eastAsia" w:ascii="Times New Roman" w:hAnsi="Times New Roman" w:eastAsia="仿宋" w:cs="Times New Roman"/>
          <w:color w:val="000000"/>
          <w:sz w:val="32"/>
          <w:szCs w:val="32"/>
          <w:lang w:val="en-US" w:eastAsia="zh-CN"/>
        </w:rPr>
        <w:t>2020</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lang w:val="en-US" w:eastAsia="zh-CN"/>
        </w:rPr>
        <w:t>473.14</w:t>
      </w:r>
      <w:r>
        <w:rPr>
          <w:rFonts w:ascii="Times New Roman" w:hAnsi="Times New Roman" w:eastAsia="仿宋" w:cs="Times New Roman"/>
          <w:color w:val="000000"/>
          <w:sz w:val="32"/>
          <w:szCs w:val="32"/>
        </w:rPr>
        <w:t>万元（详见下表），本年度各单位</w:t>
      </w:r>
      <w:r>
        <w:rPr>
          <w:rFonts w:hint="eastAsia" w:ascii="Times New Roman" w:hAnsi="Times New Roman" w:eastAsia="仿宋" w:cs="Times New Roman"/>
          <w:color w:val="000000"/>
          <w:sz w:val="32"/>
          <w:szCs w:val="32"/>
        </w:rPr>
        <w:t>（科室）</w:t>
      </w:r>
      <w:r>
        <w:rPr>
          <w:rFonts w:ascii="Times New Roman" w:hAnsi="Times New Roman" w:eastAsia="仿宋" w:cs="Times New Roman"/>
          <w:color w:val="000000"/>
          <w:sz w:val="32"/>
          <w:szCs w:val="32"/>
        </w:rPr>
        <w:t>拟购置固定资产</w:t>
      </w:r>
      <w:r>
        <w:rPr>
          <w:rFonts w:hint="eastAsia" w:ascii="Times New Roman" w:hAnsi="Times New Roman" w:eastAsia="仿宋" w:cs="Times New Roman"/>
          <w:color w:val="000000"/>
          <w:sz w:val="32"/>
          <w:szCs w:val="32"/>
        </w:rPr>
        <w:t>总额为</w:t>
      </w:r>
      <w:r>
        <w:rPr>
          <w:rFonts w:hint="eastAsia" w:ascii="Times New Roman" w:hAnsi="Times New Roman" w:eastAsia="仿宋" w:cs="Times New Roman"/>
          <w:color w:val="000000"/>
          <w:sz w:val="32"/>
          <w:szCs w:val="32"/>
          <w:lang w:val="en-US" w:eastAsia="zh-CN"/>
        </w:rPr>
        <w:t>100</w:t>
      </w:r>
      <w:r>
        <w:rPr>
          <w:rFonts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主要为安全可靠的</w:t>
      </w:r>
      <w:r>
        <w:rPr>
          <w:rFonts w:ascii="Times New Roman" w:hAnsi="Times New Roman" w:eastAsia="仿宋" w:cs="Times New Roman"/>
          <w:color w:val="000000"/>
          <w:sz w:val="32"/>
          <w:szCs w:val="32"/>
        </w:rPr>
        <w:t>计算机、一体机、打印机等，已列入政府采购预算表</w:t>
      </w:r>
      <w:r>
        <w:rPr>
          <w:rFonts w:hint="eastAsia" w:ascii="Times New Roman" w:hAnsi="Times New Roman" w:eastAsia="仿宋" w:cs="Times New Roman"/>
          <w:color w:val="000000"/>
          <w:sz w:val="32"/>
          <w:szCs w:val="32"/>
        </w:rPr>
        <w:t>，详见政府采购预算表。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eastAsia"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衡水市桃城区部门固定资产占用情况表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仿宋" w:hAnsi="仿宋" w:eastAsia="仿宋" w:cs="Times New Roman"/>
                <w:sz w:val="32"/>
                <w:szCs w:val="32"/>
              </w:rPr>
              <w:t>中共衡水市桃城区纪律检查委员会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w:t>
            </w:r>
            <w:r>
              <w:rPr>
                <w:rFonts w:hint="eastAsia" w:ascii="Times New Roman" w:hAnsi="Times New Roman" w:eastAsia="仿宋" w:cs="Times New Roman"/>
                <w:kern w:val="0"/>
                <w:sz w:val="22"/>
                <w:lang w:val="en-US" w:eastAsia="zh-CN"/>
              </w:rPr>
              <w:t>20</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2"/>
                <w:lang w:val="en-US" w:eastAsia="zh-CN"/>
              </w:rPr>
            </w:pPr>
            <w:r>
              <w:rPr>
                <w:rFonts w:hint="eastAsia" w:ascii="Times New Roman" w:hAnsi="Times New Roman" w:eastAsia="仿宋" w:cs="Times New Roman"/>
                <w:kern w:val="0"/>
                <w:sz w:val="22"/>
                <w:lang w:val="en-US" w:eastAsia="zh-CN"/>
              </w:rPr>
              <w:t>473.14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119.79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353.35</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1、一般公共预算拨款收入：指区级财政当年拨付的资金。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rPr>
        <w:rStyle w:val="10"/>
      </w:rPr>
      <w:fldChar w:fldCharType="begin"/>
    </w:r>
    <w:r>
      <w:rPr>
        <w:rStyle w:val="10"/>
      </w:rPr>
      <w:instrText xml:space="preserve"> PAGE  </w:instrText>
    </w:r>
    <w:r>
      <w:rPr>
        <w:rStyle w:val="10"/>
      </w:rPr>
      <w:fldChar w:fldCharType="separate"/>
    </w:r>
    <w:r>
      <w:rPr>
        <w:rStyle w:val="10"/>
      </w:rPr>
      <w:t>4</w:t>
    </w:r>
    <w:r>
      <w:rPr>
        <w:rStyle w:val="10"/>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67CC4"/>
    <w:rsid w:val="0000235E"/>
    <w:rsid w:val="00053893"/>
    <w:rsid w:val="00103340"/>
    <w:rsid w:val="001E44AC"/>
    <w:rsid w:val="001F4EB4"/>
    <w:rsid w:val="002148AC"/>
    <w:rsid w:val="00420375"/>
    <w:rsid w:val="008B3B52"/>
    <w:rsid w:val="0091231D"/>
    <w:rsid w:val="00C67CC4"/>
    <w:rsid w:val="00CF2269"/>
    <w:rsid w:val="00E752E5"/>
    <w:rsid w:val="00EC3709"/>
    <w:rsid w:val="00FB47C3"/>
    <w:rsid w:val="07843FEF"/>
    <w:rsid w:val="1AD04167"/>
    <w:rsid w:val="2B141243"/>
    <w:rsid w:val="350F15B8"/>
    <w:rsid w:val="4557035E"/>
    <w:rsid w:val="488C1F37"/>
    <w:rsid w:val="4AF32F29"/>
    <w:rsid w:val="4CFF72DE"/>
    <w:rsid w:val="5C4E1C42"/>
    <w:rsid w:val="68F906D4"/>
    <w:rsid w:val="73B00338"/>
    <w:rsid w:val="743E0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脚 字符"/>
    <w:link w:val="2"/>
    <w:semiHidden/>
    <w:qFormat/>
    <w:uiPriority w:val="0"/>
    <w:rPr>
      <w:rFonts w:ascii="Times New Roman" w:hAnsi="Times New Roman" w:eastAsia="宋体" w:cs="Times New Roman"/>
      <w:sz w:val="18"/>
      <w:szCs w:val="18"/>
    </w:rPr>
  </w:style>
  <w:style w:type="character" w:customStyle="1" w:styleId="14">
    <w:name w:val="页眉 字符"/>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1243</Words>
  <Characters>7086</Characters>
  <Lines>59</Lines>
  <Paragraphs>16</Paragraphs>
  <TotalTime>6</TotalTime>
  <ScaleCrop>false</ScaleCrop>
  <LinksUpToDate>false</LinksUpToDate>
  <CharactersWithSpaces>8313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2017-01-23T09:29:00Z</dcterms:created>
  <dc:creator>guest</dc:creator>
  <cp:lastModifiedBy>Lenovo</cp:lastModifiedBy>
  <cp:lastPrinted>2017-02-10T09:57:00Z</cp:lastPrinted>
  <dcterms:modified xsi:type="dcterms:W3CDTF">2021-03-15T12:02:03Z</dcterms:modified>
  <dc:title>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